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50" w:rsidRDefault="00150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23 апреля 2018 г. № 11-ФЗ «О внесении изменений в Уголовный кодекс Российской Федерации» усилено наказание за хищение денежных средств с банковского счета или электронных денежных средств до 6 лет лишения свободы. При этом уголовная ответственность наступает не только за совершение хищений с использованием банковских карт (их реквизитов и контрольной информации), но и иных электронных средств платежа («электронные кошельки», другие платежные сервисы).</w:t>
      </w:r>
    </w:p>
    <w:p w:rsidR="00150F50" w:rsidRDefault="00150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Принятие Федерального закона от 27 июня 2018 г. №167-ФЗ «О внесении изменений в отдельные законодательные акты Российской Федерации в части противодействия хищению денежных средств» и запуск автоматизированных систем Банка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ФинЦЕРТ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ФидАнтифорд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расширили возможности кредитных организаций по выявлению и блокированию транзакций. Имеющих признаки перевода денежных средств без согласия клиента, и возмещению ущерба от них.</w:t>
      </w:r>
    </w:p>
    <w:p w:rsidR="00150F50" w:rsidRDefault="00150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интегрированный банк данных федерального уровня (далее ИБД-Ф) Главного информационно</w:t>
      </w:r>
      <w:r w:rsidR="004B4855">
        <w:rPr>
          <w:rFonts w:ascii="Times New Roman" w:hAnsi="Times New Roman" w:cs="Times New Roman"/>
          <w:sz w:val="28"/>
          <w:szCs w:val="28"/>
        </w:rPr>
        <w:t>-аналитического центра МВД России введен в эксплуатацию модуль «Дистанционное мошенничество». Анализ содержащийся в базе данных информации свидетельствует о возможности установить сведения о причастности уличенного в совершении преступления лица к совершению других преступлений в сфере ИТТ с использованием им тех же номеров телефонов, банковских карт, адресов используемых сайтов и т. д. Таким образом, при установлении лица, совершившего хотя бы один преступный эпизод с использованием тех же средств, возможно отследить и иные совершенные им преступления в любом регионе страны.</w:t>
      </w:r>
      <w:bookmarkStart w:id="0" w:name="_GoBack"/>
      <w:bookmarkEnd w:id="0"/>
    </w:p>
    <w:p w:rsidR="004B4855" w:rsidRDefault="004B4855">
      <w:pPr>
        <w:rPr>
          <w:rFonts w:ascii="Times New Roman" w:hAnsi="Times New Roman" w:cs="Times New Roman"/>
          <w:sz w:val="28"/>
          <w:szCs w:val="28"/>
        </w:rPr>
      </w:pPr>
    </w:p>
    <w:p w:rsidR="00AB3B20" w:rsidRPr="00AB3B20" w:rsidRDefault="00150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3B20" w:rsidRPr="00AB3B2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3B20" w:rsidRPr="00AB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C1"/>
    <w:rsid w:val="00150F50"/>
    <w:rsid w:val="00493631"/>
    <w:rsid w:val="004B4855"/>
    <w:rsid w:val="004C082D"/>
    <w:rsid w:val="005007C1"/>
    <w:rsid w:val="00594C12"/>
    <w:rsid w:val="00AB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A2460-849A-4A6F-98DE-767359A0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2024-07-16T12:44:00Z</dcterms:created>
  <dcterms:modified xsi:type="dcterms:W3CDTF">2024-07-16T12:44:00Z</dcterms:modified>
</cp:coreProperties>
</file>